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5F" w:rsidRPr="00EC035F" w:rsidRDefault="00EC035F" w:rsidP="00EC035F">
      <w:pPr>
        <w:shd w:val="clear" w:color="auto" w:fill="F4F7FC"/>
        <w:spacing w:after="23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84"/>
        </w:rPr>
      </w:pPr>
      <w:bookmarkStart w:id="0" w:name="_GoBack"/>
      <w:bookmarkEnd w:id="0"/>
      <w:r w:rsidRPr="00EC035F">
        <w:rPr>
          <w:rFonts w:ascii="Times New Roman" w:eastAsia="Times New Roman" w:hAnsi="Times New Roman" w:cs="Times New Roman"/>
          <w:b/>
          <w:kern w:val="36"/>
          <w:sz w:val="28"/>
          <w:szCs w:val="84"/>
        </w:rPr>
        <w:t>Для предпринимателей Белгородской области предусмотрены региональные меры поддержки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С целью стабилизации экономической ситуации и сохранения рабочих мест в Белгородской области разработан ряд программных мер поддержки малого и среднего предпринимательства и промышленных предприятий.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В частности, пакет мер включает в себя гранты на развитие социального предпринимательства, содействие в сертификации продукции, средства на субсидирование процентной ставки субъектам малого и среднего предпринимательства, субсидирование банковской гарантии, новый вид микрозаймов сроком до 6 месяцев со ставкой 7% годовых, введение моратория на банкротство.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Вместе с этим, до конца декабря 2022 сводятся к минимуму проверки организаций. На предприятиях, работающих в сфере IT-технологий, проверки не будут проводиться до конца 2024 года.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Меры государственной поддержки в сфере сельского хозяйства не ограничатся только помощью крупным холдингам, они будут направлены, в том числе на фермерские и личные подсобные хозяйства.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Ряд системных решений поддержит строительные организации. Для них будут существенно облегчены условия работы с государственными контрактами. Также для подрядчиков, выполняющих государственные заказы, будет увеличена оплата по уже существующим контрактам из-за повышения цен на стройматериалы. Появится возможность авансирования заказов.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Наиболее востребованными мерами поддержки являются предоставление налоговых льгот, освобождение или отсрочка от уплаты арендной платы, упрощение административных процедур, льготное кредитование, предоставление субсидий и грантов.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С подробной информацией о мерах поддержки малого, среднего бизнеса и промышленных предприятий можно ознакомиться в разделе </w:t>
      </w:r>
      <w:hyperlink r:id="rId5" w:history="1">
        <w:r w:rsidRPr="00EC035F">
          <w:rPr>
            <w:rStyle w:val="a4"/>
            <w:color w:val="auto"/>
            <w:sz w:val="28"/>
            <w:szCs w:val="18"/>
          </w:rPr>
          <w:t>Меры поддержки-2022</w:t>
        </w:r>
      </w:hyperlink>
      <w:r w:rsidRPr="00EC035F">
        <w:rPr>
          <w:sz w:val="28"/>
          <w:szCs w:val="18"/>
        </w:rPr>
        <w:t>, а также на сайте центра «</w:t>
      </w:r>
      <w:hyperlink r:id="rId6" w:history="1">
        <w:r w:rsidRPr="00EC035F">
          <w:rPr>
            <w:rStyle w:val="a4"/>
            <w:color w:val="auto"/>
            <w:sz w:val="28"/>
            <w:szCs w:val="18"/>
          </w:rPr>
          <w:t>Мой бизнес</w:t>
        </w:r>
      </w:hyperlink>
      <w:r w:rsidRPr="00EC035F">
        <w:rPr>
          <w:sz w:val="28"/>
          <w:szCs w:val="18"/>
        </w:rPr>
        <w:t>» Белгородской области </w:t>
      </w:r>
      <w:hyperlink r:id="rId7" w:history="1">
        <w:r w:rsidRPr="00EC035F">
          <w:rPr>
            <w:rStyle w:val="a4"/>
            <w:color w:val="auto"/>
            <w:sz w:val="28"/>
            <w:szCs w:val="18"/>
          </w:rPr>
          <w:t>www.mb31.ru/</w:t>
        </w:r>
      </w:hyperlink>
      <w:r w:rsidRPr="00EC035F">
        <w:rPr>
          <w:sz w:val="28"/>
          <w:szCs w:val="18"/>
        </w:rPr>
        <w:t>.</w:t>
      </w:r>
    </w:p>
    <w:p w:rsidR="0019242B" w:rsidRPr="00EC035F" w:rsidRDefault="00332AEA"/>
    <w:sectPr w:rsidR="0019242B" w:rsidRPr="00EC035F" w:rsidSect="00F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5F"/>
    <w:rsid w:val="00332AEA"/>
    <w:rsid w:val="0035759A"/>
    <w:rsid w:val="003B0D03"/>
    <w:rsid w:val="003C43C5"/>
    <w:rsid w:val="005463F8"/>
    <w:rsid w:val="006D4982"/>
    <w:rsid w:val="006E7538"/>
    <w:rsid w:val="008E5739"/>
    <w:rsid w:val="00954333"/>
    <w:rsid w:val="00971997"/>
    <w:rsid w:val="00EC035F"/>
    <w:rsid w:val="00F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03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0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3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b31.ru/" TargetMode="External"/><Relationship Id="rId5" Type="http://schemas.openxmlformats.org/officeDocument/2006/relationships/hyperlink" Target="https://www.nalog.gov.ru/rn31/anticrisis20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2024-07-05T06:57:00Z</dcterms:created>
  <dcterms:modified xsi:type="dcterms:W3CDTF">2024-07-05T06:57:00Z</dcterms:modified>
</cp:coreProperties>
</file>